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Normal"/>
        <w:spacing w:lineRule="auto" w:line="240"/>
        <w:jc w:val="both"/>
        <w:rPr>
          <w:rFonts w:ascii="Book Antiqua" w:hAnsi="Book Antiqua" w:cs="Arial"/>
          <w:b/>
          <w:b/>
          <w:sz w:val="24"/>
          <w:szCs w:val="24"/>
        </w:rPr>
      </w:pPr>
      <w:r>
        <w:rPr>
          <w:rFonts w:cs="Arial" w:ascii="Book Antiqua" w:hAnsi="Book Antiqua"/>
          <w:b/>
          <w:sz w:val="24"/>
          <w:szCs w:val="24"/>
        </w:rPr>
        <w:t>ORDENANZA FISCAL REGULADORA DE LA TASA POR LA PRESTACIÓN DEL SERVICIO DE ALCANTARILLADO.</w:t>
      </w:r>
    </w:p>
    <w:p>
      <w:pPr>
        <w:pStyle w:val="Normal"/>
        <w:spacing w:lineRule="auto" w:line="240"/>
        <w:jc w:val="both"/>
        <w:rPr>
          <w:rFonts w:ascii="Book Antiqua" w:hAnsi="Book Antiqua"/>
          <w:b/>
          <w:b/>
          <w:bCs/>
          <w:iCs/>
          <w:sz w:val="24"/>
          <w:szCs w:val="24"/>
        </w:rPr>
      </w:pPr>
      <w:bookmarkStart w:id="0" w:name="a1"/>
      <w:bookmarkEnd w:id="0"/>
      <w:r>
        <w:rPr>
          <w:rFonts w:ascii="Book Antiqua" w:hAnsi="Book Antiqua"/>
          <w:b/>
          <w:bCs/>
          <w:iCs/>
          <w:sz w:val="24"/>
          <w:szCs w:val="24"/>
        </w:rPr>
        <w:t>Articulo 1. Fundamento y Objeto.</w:t>
      </w:r>
    </w:p>
    <w:p>
      <w:pPr>
        <w:pStyle w:val="Normal"/>
        <w:spacing w:lineRule="auto" w:line="240"/>
        <w:jc w:val="both"/>
        <w:rPr>
          <w:rFonts w:ascii="Book Antiqua" w:hAnsi="Book Antiqua"/>
          <w:sz w:val="24"/>
          <w:szCs w:val="24"/>
        </w:rPr>
      </w:pPr>
      <w:r>
        <w:rPr>
          <w:rFonts w:ascii="Book Antiqua" w:hAnsi="Book Antiqua"/>
          <w:sz w:val="24"/>
          <w:szCs w:val="24"/>
        </w:rPr>
        <w:t>Esta Entidad Local, en uso de las facultades contenidas en los artículos 133.2 y 142 de la Constitución Española,</w:t>
      </w:r>
      <w:r>
        <w:rPr>
          <w:rFonts w:ascii="Book Antiqua" w:hAnsi="Book Antiqua"/>
          <w:bCs/>
          <w:sz w:val="24"/>
          <w:szCs w:val="24"/>
        </w:rPr>
        <w:t xml:space="preserve"> en el artículo 106 de la Ley 7/1985, de 2 de abril, Reguladora de las Bases del Régimen Local, y de conformidad a lo dispuesto en los artículos 15 a 19 </w:t>
      </w:r>
      <w:r>
        <w:rPr>
          <w:rFonts w:ascii="Book Antiqua" w:hAnsi="Book Antiqua"/>
          <w:sz w:val="24"/>
          <w:szCs w:val="24"/>
        </w:rPr>
        <w:t xml:space="preserve">del </w:t>
      </w:r>
      <w:r>
        <w:rPr>
          <w:rFonts w:ascii="Book Antiqua" w:hAnsi="Book Antiqua"/>
          <w:bCs/>
          <w:sz w:val="24"/>
          <w:szCs w:val="24"/>
        </w:rPr>
        <w:t>Texto refundido de la Ley Reguladora de las Haciendas Locales, aprobado por el Real Decreto Legislativo 2/2004, de 5 de marzo, establece la Tasa</w:t>
      </w:r>
      <w:r>
        <w:rPr>
          <w:rFonts w:ascii="Book Antiqua" w:hAnsi="Book Antiqua"/>
          <w:bCs/>
          <w:i/>
          <w:sz w:val="24"/>
          <w:szCs w:val="24"/>
        </w:rPr>
        <w:t xml:space="preserve"> </w:t>
      </w:r>
      <w:r>
        <w:rPr>
          <w:rFonts w:ascii="Book Antiqua" w:hAnsi="Book Antiqua"/>
          <w:bCs/>
          <w:sz w:val="24"/>
          <w:szCs w:val="24"/>
        </w:rPr>
        <w:t>por Prestación del Servicio de Alcantarillado, que se regirá por la presente Ordenanza fiscal,</w:t>
      </w:r>
      <w:r>
        <w:rPr>
          <w:rFonts w:ascii="Book Antiqua" w:hAnsi="Book Antiqua"/>
          <w:sz w:val="24"/>
          <w:szCs w:val="24"/>
        </w:rPr>
        <w:t xml:space="preserve"> cuyas normas atienden a lo previsto en el artículo 57 y </w:t>
      </w:r>
      <w:r>
        <w:rPr>
          <w:rFonts w:ascii="Book Antiqua" w:hAnsi="Book Antiqua"/>
          <w:bCs/>
          <w:sz w:val="24"/>
          <w:szCs w:val="24"/>
        </w:rPr>
        <w:t xml:space="preserve">el artículo 20.1.b) y 20.4.r) </w:t>
      </w:r>
      <w:r>
        <w:rPr>
          <w:rFonts w:ascii="Book Antiqua" w:hAnsi="Book Antiqua"/>
          <w:sz w:val="24"/>
          <w:szCs w:val="24"/>
        </w:rPr>
        <w:t xml:space="preserve">del </w:t>
      </w:r>
      <w:r>
        <w:rPr>
          <w:rFonts w:ascii="Book Antiqua" w:hAnsi="Book Antiqua"/>
          <w:bCs/>
          <w:sz w:val="24"/>
          <w:szCs w:val="24"/>
        </w:rPr>
        <w:t>Texto refundido de la Ley Reguladora de las Haciendas Locales, aprobado por el Real Decreto Legislativo 2/2004, de 5 de marzo.</w:t>
      </w:r>
    </w:p>
    <w:p>
      <w:pPr>
        <w:pStyle w:val="Normal"/>
        <w:spacing w:lineRule="auto" w:line="240"/>
        <w:jc w:val="both"/>
        <w:rPr>
          <w:rFonts w:ascii="Book Antiqua" w:hAnsi="Book Antiqua"/>
          <w:b/>
          <w:b/>
          <w:bCs/>
          <w:iCs/>
          <w:sz w:val="24"/>
          <w:szCs w:val="24"/>
        </w:rPr>
      </w:pPr>
      <w:bookmarkStart w:id="1" w:name="a2"/>
      <w:bookmarkEnd w:id="1"/>
      <w:r>
        <w:rPr>
          <w:rFonts w:ascii="Book Antiqua" w:hAnsi="Book Antiqua"/>
          <w:b/>
          <w:bCs/>
          <w:iCs/>
          <w:sz w:val="24"/>
          <w:szCs w:val="24"/>
        </w:rPr>
        <w:t>Articulo 2. Hecho Imponible.</w:t>
      </w:r>
    </w:p>
    <w:p>
      <w:pPr>
        <w:pStyle w:val="Normal"/>
        <w:spacing w:lineRule="auto" w:line="240"/>
        <w:jc w:val="both"/>
        <w:rPr>
          <w:rFonts w:ascii="Book Antiqua" w:hAnsi="Book Antiqua"/>
          <w:bCs/>
          <w:iCs/>
          <w:sz w:val="24"/>
          <w:szCs w:val="24"/>
        </w:rPr>
      </w:pPr>
      <w:r>
        <w:rPr>
          <w:rFonts w:ascii="Book Antiqua" w:hAnsi="Book Antiqua"/>
          <w:bCs/>
          <w:iCs/>
          <w:sz w:val="24"/>
          <w:szCs w:val="24"/>
        </w:rPr>
        <w:t>Constituye el hecho imponible de la Tasa regulada por esta Ordenanza:</w:t>
      </w:r>
    </w:p>
    <w:p>
      <w:pPr>
        <w:pStyle w:val="Cuerpodetextoconsangra"/>
        <w:spacing w:lineRule="auto" w:line="240"/>
        <w:ind w:hanging="0"/>
        <w:rPr>
          <w:rFonts w:ascii="Book Antiqua" w:hAnsi="Book Antiqua"/>
          <w:bCs/>
          <w:sz w:val="24"/>
        </w:rPr>
      </w:pPr>
      <w:r>
        <w:rPr>
          <w:rFonts w:ascii="Book Antiqua" w:hAnsi="Book Antiqua"/>
          <w:bCs/>
          <w:sz w:val="24"/>
        </w:rPr>
        <w:t xml:space="preserve">— </w:t>
      </w:r>
      <w:r>
        <w:rPr>
          <w:rFonts w:ascii="Book Antiqua" w:hAnsi="Book Antiqua"/>
          <w:bCs/>
          <w:sz w:val="24"/>
        </w:rPr>
        <w:t>La actividad municipal, técnica y administrativa tendente a verificar si se dan las condiciones necesarias para autorizar la acometida a la red de alcantarillado municipal.</w:t>
      </w:r>
    </w:p>
    <w:p>
      <w:pPr>
        <w:pStyle w:val="Cuerpodetextoconsangra"/>
        <w:spacing w:lineRule="auto" w:line="240"/>
        <w:rPr>
          <w:rFonts w:ascii="Book Antiqua" w:hAnsi="Book Antiqua"/>
          <w:bCs/>
          <w:sz w:val="24"/>
        </w:rPr>
      </w:pPr>
      <w:r>
        <w:rPr>
          <w:rFonts w:ascii="Book Antiqua" w:hAnsi="Book Antiqua"/>
          <w:bCs/>
          <w:sz w:val="24"/>
        </w:rPr>
      </w:r>
    </w:p>
    <w:p>
      <w:pPr>
        <w:pStyle w:val="Cuerpodetextoconsangra"/>
        <w:spacing w:lineRule="auto" w:line="240"/>
        <w:ind w:hanging="0"/>
        <w:rPr>
          <w:rFonts w:ascii="Book Antiqua" w:hAnsi="Book Antiqua"/>
          <w:bCs/>
          <w:sz w:val="24"/>
        </w:rPr>
      </w:pPr>
      <w:r>
        <w:rPr>
          <w:rFonts w:ascii="Book Antiqua" w:hAnsi="Book Antiqua"/>
          <w:bCs/>
          <w:sz w:val="24"/>
        </w:rPr>
        <w:t>No estarán sujetas a la Tasa las fincas derruidas, declaradas ruinosas o que tengan la condición de solar o terreno.</w:t>
      </w:r>
    </w:p>
    <w:p>
      <w:pPr>
        <w:pStyle w:val="Normal"/>
        <w:spacing w:lineRule="auto" w:line="240"/>
        <w:jc w:val="both"/>
        <w:rPr>
          <w:rFonts w:ascii="Book Antiqua" w:hAnsi="Book Antiqua"/>
          <w:b/>
          <w:b/>
          <w:bCs/>
          <w:iCs/>
          <w:sz w:val="24"/>
          <w:szCs w:val="24"/>
        </w:rPr>
      </w:pPr>
      <w:bookmarkStart w:id="2" w:name="a3"/>
      <w:bookmarkEnd w:id="2"/>
      <w:r>
        <w:rPr>
          <w:rFonts w:ascii="Book Antiqua" w:hAnsi="Book Antiqua"/>
          <w:b/>
          <w:bCs/>
          <w:iCs/>
          <w:sz w:val="24"/>
          <w:szCs w:val="24"/>
        </w:rPr>
        <w:t>Articulo 3. Sujetos Pasivos.</w:t>
      </w:r>
    </w:p>
    <w:p>
      <w:pPr>
        <w:pStyle w:val="Normal"/>
        <w:spacing w:lineRule="auto" w:line="240"/>
        <w:jc w:val="both"/>
        <w:rPr>
          <w:rFonts w:ascii="Book Antiqua" w:hAnsi="Book Antiqua"/>
          <w:sz w:val="24"/>
          <w:szCs w:val="24"/>
        </w:rPr>
      </w:pPr>
      <w:r>
        <w:rPr>
          <w:rFonts w:ascii="Book Antiqua" w:hAnsi="Book Antiqua"/>
          <w:sz w:val="24"/>
          <w:szCs w:val="24"/>
        </w:rPr>
        <w:t xml:space="preserve">Son sujetos pasivos de esta tasa, todas las personas físicas y jurídicas así como las entidades a que se refiere el artículo 35.4 de la Ley General Tributaria, que resulten beneficiadas por los servicios de alcantarillado, incluida la vigilancia especial de alcantarillas particulares, de conformidad con lo dispuesto en el artículo 23 del </w:t>
      </w:r>
      <w:r>
        <w:rPr>
          <w:rFonts w:ascii="Book Antiqua" w:hAnsi="Book Antiqua"/>
          <w:bCs/>
          <w:sz w:val="24"/>
          <w:szCs w:val="24"/>
        </w:rPr>
        <w:t>texto refundido de la Ley Reguladora de las Haciendas Locales, aprobado por el Real Decreto Legislativo 2/2004, de  5 de marzo</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En todo caso, tendrán la consideración de sustitutos del contribuyente los propietarios de los inmuebles, quienes podrán repercutir, en su caso, las cuotas satisfechas sobre los respectivos beneficiarios del servicio.</w:t>
      </w:r>
    </w:p>
    <w:p>
      <w:pPr>
        <w:pStyle w:val="Normal"/>
        <w:spacing w:lineRule="auto" w:line="240"/>
        <w:jc w:val="both"/>
        <w:rPr>
          <w:rFonts w:ascii="Book Antiqua" w:hAnsi="Book Antiqua"/>
          <w:bCs/>
          <w:iCs/>
          <w:sz w:val="24"/>
          <w:szCs w:val="24"/>
        </w:rPr>
      </w:pPr>
      <w:bookmarkStart w:id="3" w:name="a4"/>
      <w:bookmarkEnd w:id="3"/>
      <w:r>
        <w:rPr>
          <w:rFonts w:ascii="Book Antiqua" w:hAnsi="Book Antiqua"/>
          <w:b/>
          <w:bCs/>
          <w:iCs/>
          <w:sz w:val="24"/>
          <w:szCs w:val="24"/>
        </w:rPr>
        <w:t>Articulo 4. Responsables</w:t>
      </w:r>
      <w:r>
        <w:rPr>
          <w:rFonts w:ascii="Book Antiqua" w:hAnsi="Book Antiqua"/>
          <w:bCs/>
          <w:iCs/>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Responderán de la deuda tributaria los deudores principales junto a otras personas o entidades. A estos efectos se considerarán deudores principales los obligados tributarios</w:t>
      </w:r>
      <w:r>
        <w:rPr>
          <w:rStyle w:val="Ancladenotaalpie"/>
          <w:rFonts w:ascii="Book Antiqua" w:hAnsi="Book Antiqua"/>
          <w:b/>
          <w:i/>
          <w:color w:val="F49701"/>
          <w:sz w:val="24"/>
          <w:szCs w:val="24"/>
        </w:rPr>
        <w:footnoteReference w:id="2"/>
      </w:r>
      <w:r>
        <w:rPr>
          <w:rFonts w:ascii="Book Antiqua" w:hAnsi="Book Antiqua"/>
          <w:sz w:val="24"/>
          <w:szCs w:val="24"/>
        </w:rPr>
        <w:t xml:space="preserve"> del artículo 35.2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Salvo precepto legal expreso en contrario, la responsabilidad será siempre subsidiaria.</w:t>
      </w:r>
    </w:p>
    <w:p>
      <w:pPr>
        <w:pStyle w:val="Normal"/>
        <w:spacing w:lineRule="auto" w:line="240"/>
        <w:jc w:val="both"/>
        <w:rPr>
          <w:rFonts w:ascii="Book Antiqua" w:hAnsi="Book Antiqua"/>
          <w:sz w:val="24"/>
          <w:szCs w:val="24"/>
        </w:rPr>
      </w:pPr>
      <w:r>
        <w:rPr>
          <w:rFonts w:ascii="Book Antiqua" w:hAnsi="Book Antiqua"/>
          <w:sz w:val="24"/>
          <w:szCs w:val="24"/>
        </w:rPr>
        <w:t>Responderán solidariamente de las obligaciones tributarias del sujeto pasivo las personas físicas y jurídicas a que se refieren los artículos 42 de la Ley 58/2003, de 17 de diciembre, General Tributaria</w:t>
      </w:r>
    </w:p>
    <w:p>
      <w:pPr>
        <w:pStyle w:val="Normal"/>
        <w:spacing w:lineRule="auto" w:line="240"/>
        <w:jc w:val="both"/>
        <w:rPr>
          <w:rFonts w:ascii="Book Antiqua" w:hAnsi="Book Antiqua"/>
          <w:sz w:val="24"/>
          <w:szCs w:val="24"/>
        </w:rPr>
      </w:pPr>
      <w:r>
        <w:rPr>
          <w:rFonts w:ascii="Book Antiqua" w:hAnsi="Book Antiqua"/>
          <w:sz w:val="24"/>
          <w:szCs w:val="24"/>
        </w:rPr>
        <w:t>En relación a la responsabilidad solidaria y subsidiaria de la deuda tributaria se estará a lo establecido, respectivamente, en los artículos 42 y 43 de la Ley 58/2003, de 17 de diciembre, General Tributaria.</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Articulo 5. Cuota Tributaria.</w:t>
      </w:r>
    </w:p>
    <w:p>
      <w:pPr>
        <w:pStyle w:val="Normal"/>
        <w:spacing w:lineRule="auto" w:line="240"/>
        <w:jc w:val="both"/>
        <w:rPr>
          <w:rFonts w:ascii="Book Antiqua" w:hAnsi="Book Antiqua"/>
          <w:bCs/>
          <w:sz w:val="24"/>
          <w:szCs w:val="24"/>
        </w:rPr>
      </w:pPr>
      <w:r>
        <w:rPr>
          <w:rFonts w:ascii="Book Antiqua" w:hAnsi="Book Antiqua"/>
          <w:bCs/>
          <w:sz w:val="24"/>
          <w:szCs w:val="24"/>
        </w:rPr>
        <w:t>La cantidad a exigir y liquidar por esta tasa se obtendrá por aplicación de las siguientes tarifas:</w:t>
      </w:r>
    </w:p>
    <w:p>
      <w:pPr>
        <w:pStyle w:val="Normal"/>
        <w:spacing w:lineRule="auto" w:line="240"/>
        <w:jc w:val="both"/>
        <w:rPr>
          <w:rFonts w:ascii="Book Antiqua" w:hAnsi="Book Antiqua"/>
          <w:bCs/>
          <w:sz w:val="24"/>
          <w:szCs w:val="24"/>
        </w:rPr>
      </w:pPr>
      <w:r>
        <w:rPr>
          <w:rFonts w:ascii="Book Antiqua" w:hAnsi="Book Antiqua"/>
          <w:bCs/>
          <w:sz w:val="24"/>
          <w:szCs w:val="24"/>
        </w:rPr>
        <w:t xml:space="preserve">— </w:t>
      </w:r>
      <w:r>
        <w:rPr>
          <w:rFonts w:ascii="Book Antiqua" w:hAnsi="Book Antiqua"/>
          <w:bCs/>
          <w:sz w:val="24"/>
          <w:szCs w:val="24"/>
        </w:rPr>
        <w:t>La cuota tributaria correspondiente a la concesión de la licencia o autorización de acometida a la red de alcantarillado consistirá en una cantidad fija de 150  euros por vivienda o local, y se exigirá por una sola vez.</w:t>
      </w:r>
    </w:p>
    <w:p>
      <w:pPr>
        <w:pStyle w:val="Cuerpodetextoconsangra"/>
        <w:spacing w:lineRule="auto" w:line="240"/>
        <w:ind w:hanging="0"/>
        <w:rPr>
          <w:rFonts w:ascii="Book Antiqua" w:hAnsi="Book Antiqua"/>
          <w:bCs/>
          <w:sz w:val="24"/>
        </w:rPr>
      </w:pPr>
      <w:r>
        <w:rPr>
          <w:rFonts w:ascii="Book Antiqua" w:hAnsi="Book Antiqua"/>
          <w:bCs/>
          <w:sz w:val="24"/>
        </w:rPr>
        <w:t xml:space="preserve">— </w:t>
      </w:r>
      <w:r>
        <w:rPr>
          <w:rFonts w:ascii="Book Antiqua" w:hAnsi="Book Antiqua"/>
          <w:bCs/>
          <w:sz w:val="24"/>
        </w:rPr>
        <w:t>La cuota tributaria mínima exigible por la existencia del servicio se establece en 8 euros/semestre.</w:t>
      </w:r>
      <w:bookmarkStart w:id="4" w:name="a6"/>
      <w:bookmarkEnd w:id="4"/>
    </w:p>
    <w:p>
      <w:pPr>
        <w:pStyle w:val="Normal"/>
        <w:spacing w:lineRule="auto" w:line="240"/>
        <w:jc w:val="both"/>
        <w:rPr>
          <w:rFonts w:ascii="Book Antiqua" w:hAnsi="Book Antiqua"/>
          <w:b/>
          <w:b/>
          <w:bCs/>
          <w:sz w:val="24"/>
          <w:szCs w:val="24"/>
        </w:rPr>
      </w:pPr>
      <w:r>
        <w:rPr>
          <w:rFonts w:ascii="Book Antiqua" w:hAnsi="Book Antiqua"/>
          <w:b/>
          <w:bCs/>
          <w:sz w:val="24"/>
          <w:szCs w:val="24"/>
        </w:rPr>
        <w:t>Articulo 6. Devengo.</w:t>
      </w:r>
    </w:p>
    <w:p>
      <w:pPr>
        <w:pStyle w:val="Normal"/>
        <w:spacing w:lineRule="auto" w:line="240"/>
        <w:jc w:val="both"/>
        <w:rPr>
          <w:rFonts w:ascii="Book Antiqua" w:hAnsi="Book Antiqua"/>
          <w:bCs/>
          <w:sz w:val="24"/>
          <w:szCs w:val="24"/>
        </w:rPr>
      </w:pPr>
      <w:r>
        <w:rPr>
          <w:rFonts w:ascii="Book Antiqua" w:hAnsi="Book Antiqua"/>
          <w:bCs/>
          <w:sz w:val="24"/>
          <w:szCs w:val="24"/>
        </w:rPr>
        <w:t>Se devenga la Tasa y nace la obligación de contribuir desde el momento que se inicie la prestación del servicio sujeto a gravamen, entendiéndose iniciado:</w:t>
      </w:r>
    </w:p>
    <w:p>
      <w:pPr>
        <w:pStyle w:val="Normal"/>
        <w:spacing w:lineRule="auto" w:line="240"/>
        <w:jc w:val="both"/>
        <w:rPr>
          <w:rFonts w:ascii="Book Antiqua" w:hAnsi="Book Antiqua"/>
          <w:bCs/>
          <w:sz w:val="24"/>
          <w:szCs w:val="24"/>
        </w:rPr>
      </w:pPr>
      <w:r>
        <w:rPr>
          <w:rFonts w:ascii="Book Antiqua" w:hAnsi="Book Antiqua"/>
          <w:bCs/>
          <w:sz w:val="24"/>
          <w:szCs w:val="24"/>
        </w:rPr>
        <w:t xml:space="preserve">— </w:t>
      </w:r>
      <w:r>
        <w:rPr>
          <w:rFonts w:ascii="Book Antiqua" w:hAnsi="Book Antiqua"/>
          <w:bCs/>
          <w:sz w:val="24"/>
          <w:szCs w:val="24"/>
        </w:rPr>
        <w:t>Desde la fecha de presentación de la solicitud de licencia de acometida, si el sujeto pasivo la formulase expresamente.</w:t>
      </w:r>
    </w:p>
    <w:p>
      <w:pPr>
        <w:pStyle w:val="Cuerpodetextoconsangra"/>
        <w:spacing w:lineRule="auto" w:line="240"/>
        <w:ind w:hanging="0"/>
        <w:rPr>
          <w:rFonts w:ascii="Book Antiqua" w:hAnsi="Book Antiqua"/>
          <w:bCs/>
          <w:sz w:val="24"/>
        </w:rPr>
      </w:pPr>
      <w:r>
        <w:rPr>
          <w:rFonts w:ascii="Book Antiqua" w:hAnsi="Book Antiqua"/>
          <w:bCs/>
          <w:sz w:val="24"/>
        </w:rPr>
        <w:t xml:space="preserve">— </w:t>
      </w:r>
      <w:r>
        <w:rPr>
          <w:rFonts w:ascii="Book Antiqua" w:hAnsi="Book Antiqua"/>
          <w:bCs/>
          <w:sz w:val="24"/>
        </w:rPr>
        <w:t>Cuando esté establecido y en funcionamiento el servicio municipal objeto de la presente regulación.</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Articulo 7. Normas de Gestión.</w:t>
      </w:r>
    </w:p>
    <w:p>
      <w:pPr>
        <w:pStyle w:val="Normal"/>
        <w:spacing w:lineRule="auto" w:line="240"/>
        <w:jc w:val="both"/>
        <w:rPr>
          <w:rFonts w:ascii="Book Antiqua" w:hAnsi="Book Antiqua"/>
          <w:bCs/>
          <w:iCs/>
          <w:sz w:val="24"/>
          <w:szCs w:val="24"/>
        </w:rPr>
      </w:pPr>
      <w:r>
        <w:rPr>
          <w:rFonts w:ascii="Book Antiqua" w:hAnsi="Book Antiqua"/>
          <w:bCs/>
          <w:iCs/>
          <w:sz w:val="24"/>
          <w:szCs w:val="24"/>
        </w:rPr>
        <w:t>La gestión, liquidación, inspección y recaudación de esta Tasa se realizará según lo dispuesto en la Ley 58/2003, de 17 de diciembre, General Tributaria y en las demás leyes reguladoras de la materia, así como en las disposiciones dictadas para su desarrollo.</w:t>
      </w:r>
    </w:p>
    <w:p>
      <w:pPr>
        <w:pStyle w:val="Normal"/>
        <w:spacing w:lineRule="auto" w:line="240"/>
        <w:jc w:val="both"/>
        <w:rPr>
          <w:rFonts w:ascii="Book Antiqua" w:hAnsi="Book Antiqua"/>
          <w:bCs/>
          <w:iCs/>
          <w:sz w:val="24"/>
          <w:szCs w:val="24"/>
        </w:rPr>
      </w:pPr>
      <w:r>
        <w:rPr>
          <w:rFonts w:ascii="Book Antiqua" w:hAnsi="Book Antiqua"/>
          <w:bCs/>
          <w:iCs/>
          <w:sz w:val="24"/>
          <w:szCs w:val="24"/>
        </w:rPr>
        <w:t>Los sujetos pasivos sustitutos del contribuyente formularán las declaraciones de alta y baja en el censo de sujetos pasivos de la Tasa, en el plazo que media entre la fecha en que se produzca la variación en la titularidad de la finca y el último día del mes natural siguiente. Estas últimas declaraciones surtirán efecto a partir de la primera liquidación que se practique una vez finalizado el plazo de presentación de dichas declaraciones de alta y baja.</w:t>
      </w:r>
    </w:p>
    <w:p>
      <w:pPr>
        <w:pStyle w:val="Normal"/>
        <w:spacing w:lineRule="auto" w:line="240"/>
        <w:jc w:val="both"/>
        <w:rPr>
          <w:rFonts w:ascii="Book Antiqua" w:hAnsi="Book Antiqua"/>
          <w:bCs/>
          <w:iCs/>
          <w:sz w:val="24"/>
          <w:szCs w:val="24"/>
        </w:rPr>
      </w:pPr>
      <w:r>
        <w:rPr>
          <w:rFonts w:ascii="Book Antiqua" w:hAnsi="Book Antiqua"/>
          <w:bCs/>
          <w:iCs/>
          <w:sz w:val="24"/>
          <w:szCs w:val="24"/>
        </w:rPr>
        <w:t>La inclusión inicial en el censo se hará de oficio una vez concedida la licencia de acometida a la red.</w:t>
      </w:r>
    </w:p>
    <w:p>
      <w:pPr>
        <w:pStyle w:val="Normal"/>
        <w:spacing w:lineRule="auto" w:line="240"/>
        <w:jc w:val="both"/>
        <w:rPr>
          <w:rFonts w:ascii="Book Antiqua" w:hAnsi="Book Antiqua"/>
          <w:sz w:val="24"/>
          <w:szCs w:val="24"/>
        </w:rPr>
      </w:pPr>
      <w:r>
        <w:rPr>
          <w:rFonts w:ascii="Book Antiqua" w:hAnsi="Book Antiqua"/>
          <w:sz w:val="24"/>
          <w:szCs w:val="24"/>
        </w:rPr>
        <w:t xml:space="preserve">El cobro de la tasa de hará mediante </w:t>
      </w:r>
      <w:r>
        <w:rPr>
          <w:rFonts w:ascii="Book Antiqua" w:hAnsi="Book Antiqua"/>
          <w:iCs/>
          <w:sz w:val="24"/>
          <w:szCs w:val="24"/>
        </w:rPr>
        <w:t xml:space="preserve">lista Cobratoria, por recibos tributarios, en el período de cobranza que el Ayuntamiento determine, exponiéndose dicha lista cobratoria por el plazo de veinte días hábiles en lugares y medios previstos por la Legislación, a efectos de reclamaciones por los interesados. </w:t>
      </w:r>
    </w:p>
    <w:p>
      <w:pPr>
        <w:pStyle w:val="Normal"/>
        <w:spacing w:lineRule="auto" w:line="240"/>
        <w:jc w:val="both"/>
        <w:rPr>
          <w:rFonts w:ascii="Book Antiqua" w:hAnsi="Book Antiqua"/>
          <w:bCs/>
          <w:iCs/>
          <w:sz w:val="24"/>
          <w:szCs w:val="24"/>
          <w:u w:val="single"/>
        </w:rPr>
      </w:pPr>
      <w:r>
        <w:rPr>
          <w:rFonts w:ascii="Book Antiqua" w:hAnsi="Book Antiqua"/>
          <w:bCs/>
          <w:iCs/>
          <w:sz w:val="24"/>
          <w:szCs w:val="24"/>
        </w:rPr>
        <w:t>En el supuesto de licencia de acometida, el contribuyente formulará la oportuna solicitud y los servicios tributarios de este Ayuntamiento, una vez concedida aquella, practicarán la liquidación que proceda, que será notificada para el ingreso directo en la forma y plazos que señalan los artículos 60 y 62 de la Ley 58/2003, de 17 de diciembre, General Tributaria.</w:t>
      </w:r>
    </w:p>
    <w:p>
      <w:pPr>
        <w:pStyle w:val="Normal"/>
        <w:spacing w:lineRule="auto" w:line="240"/>
        <w:jc w:val="both"/>
        <w:rPr>
          <w:rFonts w:ascii="Book Antiqua" w:hAnsi="Book Antiqua"/>
          <w:b/>
          <w:b/>
          <w:sz w:val="24"/>
          <w:szCs w:val="24"/>
        </w:rPr>
      </w:pPr>
      <w:bookmarkStart w:id="5" w:name="a9"/>
      <w:bookmarkEnd w:id="5"/>
      <w:r>
        <w:rPr>
          <w:rFonts w:ascii="Book Antiqua" w:hAnsi="Book Antiqua"/>
          <w:b/>
          <w:sz w:val="24"/>
          <w:szCs w:val="24"/>
        </w:rPr>
        <w:t>Articulo 8. Infracciones y Sanciones.</w:t>
      </w:r>
    </w:p>
    <w:p>
      <w:pPr>
        <w:pStyle w:val="Normal"/>
        <w:spacing w:lineRule="auto" w:line="240"/>
        <w:jc w:val="both"/>
        <w:rPr>
          <w:rFonts w:ascii="Book Antiqua" w:hAnsi="Book Antiqua"/>
          <w:sz w:val="24"/>
          <w:szCs w:val="24"/>
        </w:rPr>
      </w:pPr>
      <w:r>
        <w:rPr>
          <w:rFonts w:ascii="Book Antiqua" w:hAnsi="Book Antiqua"/>
          <w:sz w:val="24"/>
          <w:szCs w:val="24"/>
        </w:rPr>
        <w:t xml:space="preserve">En todo lo referente a infracciones y sanciones, será de aplicación la Ley 58/2003, de 17 de diciembre, General Tributaria, en concreto los artículos 181 y siguientes, así como sus disposiciones de desarrollo, según </w:t>
      </w:r>
      <w:r>
        <w:rPr>
          <w:rFonts w:ascii="Book Antiqua" w:hAnsi="Book Antiqua"/>
          <w:spacing w:val="-3"/>
          <w:sz w:val="24"/>
          <w:szCs w:val="24"/>
        </w:rPr>
        <w:t>lo dispuesto en el artículo 11 el Texto Refundido de la Ley Reguladora de las Haciendas Locales, aprobado por el Real Decreto Legislativo 2/2004, de 5 de marzo.</w:t>
      </w:r>
    </w:p>
    <w:p>
      <w:pPr>
        <w:pStyle w:val="Normal"/>
        <w:spacing w:lineRule="auto" w:line="240"/>
        <w:jc w:val="both"/>
        <w:rPr>
          <w:rFonts w:ascii="Book Antiqua" w:hAnsi="Book Antiqua"/>
          <w:b/>
          <w:b/>
          <w:sz w:val="24"/>
          <w:szCs w:val="24"/>
        </w:rPr>
      </w:pPr>
      <w:r>
        <w:rPr>
          <w:rFonts w:ascii="Book Antiqua" w:hAnsi="Book Antiqua"/>
          <w:b/>
          <w:sz w:val="24"/>
          <w:szCs w:val="24"/>
        </w:rPr>
        <w:t>Articulo 9. Legislación Aplicable.</w:t>
      </w:r>
    </w:p>
    <w:p>
      <w:pPr>
        <w:pStyle w:val="Normal"/>
        <w:spacing w:lineRule="auto" w:line="240"/>
        <w:ind w:right="71" w:hanging="0"/>
        <w:jc w:val="both"/>
        <w:rPr>
          <w:rFonts w:ascii="Book Antiqua" w:hAnsi="Book Antiqua"/>
          <w:sz w:val="24"/>
          <w:szCs w:val="24"/>
        </w:rPr>
      </w:pPr>
      <w:r>
        <w:rPr>
          <w:rFonts w:cs="Arial" w:ascii="Book Antiqua" w:hAnsi="Book Antiqua"/>
          <w:sz w:val="24"/>
          <w:szCs w:val="24"/>
        </w:rPr>
        <w:t xml:space="preserve">En todo lo no previsto en la presente Ordenanza se estará a lo dispuesto en el Texto Refundido de la Ley Reguladora de las Haciendas Locales, aprobado por el Real Decreto Legislativo 2/2004, de 5 de marzo, la Ley 7/1985, de 2 de abril, Reguladora de las Bases de Régimen Local, la </w:t>
      </w:r>
      <w:r>
        <w:rPr>
          <w:rFonts w:ascii="Book Antiqua" w:hAnsi="Book Antiqua"/>
          <w:bCs/>
          <w:sz w:val="24"/>
          <w:szCs w:val="24"/>
        </w:rPr>
        <w:t>Ley 58/2003, de 17 de diciembre, General Tributaria</w:t>
      </w:r>
      <w:r>
        <w:rPr>
          <w:rFonts w:cs="Arial" w:ascii="Book Antiqua" w:hAnsi="Book Antiqua"/>
          <w:sz w:val="24"/>
          <w:szCs w:val="24"/>
        </w:rPr>
        <w:t>, la Ley 8/1989, de 13 de abril, de Tasas y Precios Públicos, así como en la Ordenanza Fiscal General aprobada por este Ayuntamiento.</w:t>
      </w:r>
    </w:p>
    <w:p>
      <w:pPr>
        <w:pStyle w:val="Normal"/>
        <w:spacing w:lineRule="auto" w:line="240"/>
        <w:jc w:val="both"/>
        <w:rPr>
          <w:rFonts w:ascii="Book Antiqua" w:hAnsi="Book Antiqua" w:cs="Arial"/>
          <w:b/>
          <w:b/>
          <w:sz w:val="24"/>
          <w:szCs w:val="24"/>
        </w:rPr>
      </w:pPr>
      <w:bookmarkStart w:id="6" w:name="DF"/>
      <w:bookmarkEnd w:id="6"/>
      <w:r>
        <w:rPr>
          <w:rFonts w:cs="Arial" w:ascii="Book Antiqua" w:hAnsi="Book Antiqua"/>
          <w:b/>
          <w:sz w:val="24"/>
          <w:szCs w:val="24"/>
        </w:rPr>
        <w:t>DISPOSICIÓN FINAL ÚNICA.</w:t>
      </w:r>
    </w:p>
    <w:p>
      <w:pPr>
        <w:pStyle w:val="Normal"/>
        <w:spacing w:lineRule="auto" w:line="240"/>
        <w:jc w:val="both"/>
        <w:rPr>
          <w:rFonts w:ascii="Book Antiqua" w:hAnsi="Book Antiqua" w:cs="Arial"/>
          <w:sz w:val="24"/>
          <w:szCs w:val="24"/>
        </w:rPr>
      </w:pPr>
      <w:r>
        <w:rPr>
          <w:rFonts w:cs="Arial" w:ascii="Book Antiqua" w:hAnsi="Book Antiqua"/>
          <w:sz w:val="24"/>
          <w:szCs w:val="24"/>
        </w:rPr>
        <w:t>La presente Ordenanza, aprobada por el Ayuntamiento, entrará en vigor, una vez se haya publicado íntegramente en el Boletín Oficial de la Provincia de Teruel, y haya transcurrido el plazo de quince días previsto en el artículo 65.2 de la Ley 7/1985, plazo en el que la Administración del estado o la de la Comunidad Autónoma podrán ejercer sus facultades de requerimiento, permaneciendo en vigor hasta su modificación o derogación expresa.</w:t>
      </w:r>
    </w:p>
    <w:p>
      <w:pPr>
        <w:pStyle w:val="Normal"/>
        <w:spacing w:lineRule="auto" w:line="240" w:before="0" w:after="200"/>
        <w:jc w:val="both"/>
        <w:rPr>
          <w:rFonts w:ascii="Book Antiqua" w:hAnsi="Book Antiqua" w:cs="Arial"/>
          <w:b/>
          <w:b/>
          <w:sz w:val="24"/>
          <w:szCs w:val="24"/>
        </w:rPr>
      </w:pPr>
      <w:r>
        <w:rPr>
          <w:rFonts w:ascii="Book Antiqua" w:hAnsi="Book Antiqua"/>
          <w:sz w:val="24"/>
          <w:szCs w:val="24"/>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Verdana" w:hAnsi="Verdana"/>
          <w:i/>
          <w:i/>
          <w:color w:val="808080"/>
          <w:sz w:val="14"/>
          <w:szCs w:val="16"/>
        </w:rPr>
      </w:pPr>
      <w:r>
        <w:rPr>
          <w:rStyle w:val="Caracteresdenotaalpie"/>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LibreOffice/7.3.6.2$Windows_X86_64 LibreOffice_project/c28ca90fd6e1a19e189fc16c05f8f8924961e12e</Application>
  <AppVersion>15.0000</AppVersion>
  <Pages>3</Pages>
  <Words>1058</Words>
  <Characters>5539</Characters>
  <CharactersWithSpaces>6576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2022-11-03T11:44:04Z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